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7120E" w:rsidP="00FD77B5">
      <w:pPr>
        <w:spacing w:afterLines="0" w:after="0"/>
        <w:jc w:val="center"/>
        <w:rPr>
          <w:rFonts w:cs="Times New Roman"/>
          <w:color w:val="000099"/>
          <w:sz w:val="52"/>
          <w:szCs w:val="52"/>
        </w:rPr>
      </w:pPr>
      <w:r>
        <w:rPr>
          <w:rFonts w:cs="Times New Roman"/>
          <w:color w:val="000099"/>
          <w:sz w:val="52"/>
          <w:szCs w:val="52"/>
        </w:rPr>
        <w:t>Might Mouse v. Warner Bros LTD., et al.</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7120E" w:rsidP="00D66223">
      <w:pPr>
        <w:spacing w:afterLines="0" w:after="0"/>
        <w:jc w:val="center"/>
        <w:rPr>
          <w:rFonts w:cs="Times New Roman"/>
          <w:bCs/>
          <w:color w:val="000099"/>
          <w:sz w:val="28"/>
          <w:szCs w:val="28"/>
        </w:rPr>
      </w:pPr>
      <w:r>
        <w:rPr>
          <w:rFonts w:cs="Times New Roman"/>
          <w:bCs/>
          <w:color w:val="000099"/>
          <w:sz w:val="28"/>
          <w:szCs w:val="28"/>
        </w:rPr>
        <w:t/>
      </w:r>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B7120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B7120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B7120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B7120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B7120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B7120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B7120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B7120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B7120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B7120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B7120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B7120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B7120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B7120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B7120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B7120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B7120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B7120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B7120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B7120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B7120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B7120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B7120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B7120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B7120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B7120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B7120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B7120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B7120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B7120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B7120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B7120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B7120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B7120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B7120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B7120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B7120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B7120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B7120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B7120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B7120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B7120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B7120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B7120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B7120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B7120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B7120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B7120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B7120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B7120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B7120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B7120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B7120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B7120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B7120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B7120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B7120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B7120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B7120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B7120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B7120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B7120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B7120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B7120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B7120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B7120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B7120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B7120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B7120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B7120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B7120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B7120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B7120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B7120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B7120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B7120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B7120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B7120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B7120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B7120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B7120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B7120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B7120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B7120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B7120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B7120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B7120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B7120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B7120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B7120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B7120E" w:rsidP="00FB173A">
      <w:pPr>
        <w:pStyle w:val="NormalEnd"/>
      </w:pPr>
      <w:r>
        <w:t>
          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
          <w:br/>
          <w:br/>
          Vel pretium lectus quam id leo in vitae turpis. Orci eu lobortis elementum nibh tellus molestie nunc non. Turpis nunc eget lorem dolor sed viverra ipsum nunc. Egestas sed tempus urna et pharetra pharetra. Consequat id porta nibh venenatis cras. Nunc aliquet bibendum enim facilisis gravida. Amet mattis vulputate enim nulla aliquet porttitor lacus. Suspendisse ultrices gravida dictum fusce ut. Quis varius quam quisque id diam vel. Mus mauris vitae ultricies leo integer. Sed euismod nisi porta lorem mollis. Fermentum iaculis eu non diam phasellus. Nunc sed augue lacus viverra vitae congue eu consequat. At consectetur lorem donec massa sapien faucibus et molestie. Blandit massa enim nec dui.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7120E" w:rsidP="00B83DD4">
            <w:pPr>
              <w:spacing w:afterLines="0" w:after="0"/>
              <w:rPr>
                <w:rFonts w:ascii="Times New Roman" w:hAnsi="Times New Roman" w:cs="Times New Roman"/>
                <w:sz w:val="20"/>
                <w:szCs w:val="20"/>
              </w:rPr>
            </w:pPr>
            <w:r>
              <w:rPr>
                <w:rFonts w:cs="Times New Roman"/>
                <w:sz w:val="20"/>
                <w:szCs w:val="20"/>
              </w:rPr>
              <w:t>Mighty Mouse</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7120E" w:rsidP="00B83DD4">
            <w:pPr>
              <w:spacing w:afterLines="0" w:after="0"/>
              <w:rPr>
                <w:rFonts w:ascii="Times New Roman" w:hAnsi="Times New Roman" w:cs="Times New Roman"/>
                <w:sz w:val="20"/>
                <w:szCs w:val="20"/>
              </w:rPr>
            </w:pPr>
            <w:r>
              <w:rPr>
                <w:rFonts w:cs="Times New Roman"/>
                <w:sz w:val="20"/>
                <w:szCs w:val="20"/>
              </w:rPr>
              <w:t>Warner Brothers LTD ("Warner Bros.")</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7120E" w:rsidP="00B83DD4">
            <w:pPr>
              <w:spacing w:afterLines="0" w:after="0"/>
              <w:rPr>
                <w:rFonts w:ascii="Times New Roman" w:hAnsi="Times New Roman" w:cs="Times New Roman"/>
                <w:sz w:val="20"/>
                <w:szCs w:val="20"/>
              </w:rPr>
            </w:pPr>
            <w:r>
              <w:rPr>
                <w:rFonts w:cs="Times New Roman"/>
                <w:sz w:val="20"/>
                <w:szCs w:val="20"/>
              </w:rPr>
              <w:t>The Bad Guy</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bookmarkEnd w:id="5"/>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I want to know if blah blah blah works.</w:t>
      </w:r>
      <w:r w:rsidRPr="00020852">
        <w:rPr>
          <w:rFonts w:cs="Times New Roman"/>
          <w:szCs w:val="24"/>
        </w:rPr>
        <w:t xml:space="preserve"> </w:t>
      </w:r>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r>
        <w:rPr>
          <w:rFonts w:cs="Times New Roman"/>
          <w:szCs w:val="24"/>
        </w:rPr>
        <w:t>Does the lazy brown fox jump over the moon?</w:t>
      </w:r>
      <w:r w:rsidRPr="00020852">
        <w:rPr>
          <w:rFonts w:cs="Times New Roman"/>
          <w:szCs w:val="24"/>
        </w:rPr>
        <w:t xml:space="preserve"> </w:t>
      </w:r>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Deed of Trust showing transfer into Trust.</w:t>
      </w:r>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Quitclaim Deed to wife.</w:t>
      </w:r>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r>
        <w:rPr>
          <w:rFonts w:cs="Times New Roman"/>
          <w:szCs w:val="24"/>
        </w:rPr>
        <w:t>Copy of invoice showing this and that.</w:t>
      </w:r>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3F32C066" w14:textId="190BE478" w:rsidR="001257C8" w:rsidRPr="001257C8" w:rsidRDefault="001257C8" w:rsidP="001257C8">
      <w:pPr>
        <w:pStyle w:val="Line"/>
      </w:pPr>
      <w:r w:rsidRPr="001257C8">
        <w:t>________________________________</w:t>
      </w:r>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002155D0" w:rsidRPr="00EA2883">
        <w:t xml:space="preserve">POTENTIAL CAUSES OF ACTION </w:t>
      </w:r>
      <w:r w:rsidR="002155D0">
        <w:t>&amp;</w:t>
      </w:r>
      <w:r w:rsidR="002155D0" w:rsidRPr="00EA2883">
        <w:br/>
        <w:t>THE STRENGTHS/WEAKNESSES OF EACH</w:t>
      </w:r>
      <w:bookmarkEnd w:id="18"/>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bookmarkStart w:id="30" w:name="_Hlk41032600"/>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83" w:name="_Toc42862044"/>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r>
        <w:rPr>
          <w:rFonts w:cs="Times New Roman"/>
          <w:b/>
          <w:bCs/>
          <w:color w:val="C00000"/>
          <w:szCs w:val="24"/>
          <w:u w:val="single"/>
        </w:rPr>
        <w:t/>
      </w:r>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Orange</w:t>
      </w:r>
      <w:r w:rsidRPr="00020852">
        <w:rPr>
          <w:rFonts w:cs="Times New Roman"/>
        </w:rPr>
        <w:t xml:space="preserve"> County, California, and because the parties are residents of California, the superior court in </w:t>
      </w:r>
      <w:r>
        <w:rPr>
          <w:rFonts w:cs="Times New Roman"/>
          <w:szCs w:val="24"/>
        </w:rPr>
        <w:t>Orange</w:t>
      </w:r>
      <w:r w:rsidRPr="00020852">
        <w:rPr>
          <w:rFonts w:cs="Times New Roman"/>
        </w:rPr>
        <w:t xml:space="preserve"> County may exercise personal jurisdiction over the parties.</w:t>
      </w:r>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B7120E" w:rsidP="00ED253D">
      <w:pPr>
        <w:spacing w:after="264"/>
      </w:pPr>
      <w:r>
        <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7120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Might Mouse v. Warner Bros LTD., et al.</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000000"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000000"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000000"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000000"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000000"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000000"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000000"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000000"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000000"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000000"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000000"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000000"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000000"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000000"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000000"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000000"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000000"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000000"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000000"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000000"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000000"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000000"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000000"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000000"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000000"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000000"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000000"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000000"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000000"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143</Pages>
  <Words>41309</Words>
  <Characters>235463</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281</cp:revision>
  <cp:lastPrinted>2019-02-13T22:26:00Z</cp:lastPrinted>
  <dcterms:created xsi:type="dcterms:W3CDTF">2020-06-05T18:10:00Z</dcterms:created>
  <dcterms:modified xsi:type="dcterms:W3CDTF">2023-03-21T16:44:00Z</dcterms:modified>
</cp:coreProperties>
</file>