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993B28" w:rsidP="00FD77B5">
      <w:pPr>
        <w:spacing w:afterLines="0" w:after="0"/>
        <w:jc w:val="center"/>
        <w:rPr>
          <w:rFonts w:cs="Times New Roman"/>
          <w:color w:val="000099"/>
          <w:sz w:val="52"/>
          <w:szCs w:val="52"/>
        </w:rPr>
      </w:pPr>
      <w:r>
        <w:rPr>
          <w:rFonts w:cs="Times New Roman"/>
          <w:color w:val="000099"/>
          <w:sz w:val="52"/>
          <w:szCs w:val="52"/>
        </w:rPr>
        <w:t>Wheeler v. Hawkins</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993B28" w:rsidP="00D66223">
      <w:pPr>
        <w:spacing w:afterLines="0" w:after="0"/>
        <w:jc w:val="center"/>
        <w:rPr>
          <w:rFonts w:cs="Times New Roman"/>
          <w:bCs/>
          <w:color w:val="000099"/>
          <w:sz w:val="28"/>
          <w:szCs w:val="28"/>
        </w:rPr>
      </w:pPr>
      <w:r>
        <w:rPr>
          <w:rFonts w:cs="Times New Roman"/>
          <w:bCs/>
          <w:color w:val="000099"/>
          <w:sz w:val="28"/>
          <w:szCs w:val="28"/>
        </w:rPr>
        <w:t>MBK</w:t>
      </w:r>
    </w:p>
    <w:p w14:paraId="56F0E1E5" w14:textId="48E6EC9F"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4205A">
        <w:rPr>
          <w:rFonts w:cs="Times New Roman"/>
          <w:bCs/>
          <w:noProof/>
          <w:color w:val="000099"/>
          <w:sz w:val="26"/>
          <w:szCs w:val="26"/>
        </w:rPr>
        <w:t>March 30,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993B28">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993B28">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993B28">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993B28">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993B28">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993B28">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993B28">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993B28">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993B28">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993B28">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993B28">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993B28">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993B28">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993B28">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993B28">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993B28">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993B28">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993B28">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993B28">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993B28">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993B28">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993B28">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993B28">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993B28">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993B28">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993B28">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993B28">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993B28">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993B28">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993B28">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993B28">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993B28">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993B28">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993B28">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993B28">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993B28">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993B28">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993B28">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993B28">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993B28">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993B28">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993B28">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993B28">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993B28">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993B28">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993B28">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993B28">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993B28">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993B28">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993B28">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993B28">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993B28">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993B28">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993B28">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993B28">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993B28">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993B28">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993B28">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993B28">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993B28">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993B28">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993B28">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993B28">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993B28">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993B28">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993B28">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993B28">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993B28">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993B28">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993B28">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993B28">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993B28">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993B28">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993B28">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993B28">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993B28">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993B28">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993B28">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993B28">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993B28">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993B28">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993B28">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993B28">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993B28">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993B28">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993B28">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993B28">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993B28">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993B28">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993B28">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993B28">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993B28">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993B28">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993B28">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993B28">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993B28">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993B28">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993B28">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993B28">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993B28">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993B28">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993B28">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993B28">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993B28">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993B28">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993B28">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993B28">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993B28">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993B28">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993B28">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993B28">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993B28">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993B28">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993B28">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993B28">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993B28">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993B28">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993B28">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993B28">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993B28" w:rsidP="00FB173A">
      <w:pPr>
        <w:pStyle w:val="NormalEnd"/>
      </w:pPr>
      <w:r>
        <w:t>
          Amet massa vitae tortor condimentum. Molestie ac feugiat sed lectus. Enim neque volutpat ac tincidunt. Mauris in aliquam sem fringilla. Cras adipiscing enim eu turpis. Condimentum mattis pellentesque id nibh tortor. Sed velit dignissim sodales ut. Tortor vitae purus faucibus ornare suspendisse sed. Vulputate ut pharetra sit amet. Vel pretium lectus quam id leo in vitae. Viverra adipiscing at in tellus.
          <w:br/>
          <w:br/>
          Dolor morbi non arcu risus. Aliquam malesuada bibendum arcu vitae elementum. Vitae tempus quam pellentesque nec nam. Massa ultricies mi quis hendrerit dolor magna. Semper feugiat nibh sed pulvinar proin gravida hendrerit. Augue mauris augue neque gravida in. Ultrices vitae auctor eu augue ut. Lacus sed turpis tincidunt id aliquet. Tortor consequat id porta nibh venenatis. In tellus integer feugiat scelerisque varius morbi enim nunc faucibus. Eu feugiat pretium nibh ipsum consequat nisl vel pretium.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993B28" w:rsidP="00B83DD4">
            <w:pPr>
              <w:spacing w:afterLines="0" w:after="0"/>
              <w:rPr>
                <w:rFonts w:ascii="Times New Roman" w:hAnsi="Times New Roman" w:cs="Times New Roman"/>
                <w:sz w:val="20"/>
                <w:szCs w:val="20"/>
              </w:rPr>
            </w:pPr>
            <w:r>
              <w:rPr>
                <w:rFonts w:cs="Times New Roman"/>
                <w:sz w:val="20"/>
                <w:szCs w:val="20"/>
              </w:rPr>
              <w:t>Michael Wheeler</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993B28" w:rsidP="00B83DD4">
            <w:pPr>
              <w:spacing w:afterLines="0" w:after="0"/>
              <w:rPr>
                <w:rFonts w:ascii="Times New Roman" w:hAnsi="Times New Roman" w:cs="Times New Roman"/>
                <w:sz w:val="20"/>
                <w:szCs w:val="20"/>
              </w:rPr>
            </w:pPr>
            <w:r>
              <w:rPr>
                <w:rFonts w:cs="Times New Roman"/>
                <w:sz w:val="20"/>
                <w:szCs w:val="20"/>
              </w:rPr>
              <w:t>Hawkins AV Club Inc.</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993B28" w:rsidP="00B83DD4">
            <w:pPr>
              <w:spacing w:afterLines="0" w:after="0"/>
              <w:rPr>
                <w:rFonts w:ascii="Times New Roman" w:hAnsi="Times New Roman" w:cs="Times New Roman"/>
                <w:sz w:val="20"/>
                <w:szCs w:val="20"/>
              </w:rPr>
            </w:pPr>
            <w:r>
              <w:rPr>
                <w:rFonts w:cs="Times New Roman"/>
                <w:sz w:val="20"/>
                <w:szCs w:val="20"/>
              </w:rPr>
              <w:t>Front for the Bad Guys</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lastRenderedPageBreak/>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bookmarkStart w:id="52" w:name="_Hlk130447949"/>
    <w:bookmarkStart w:id="53" w:name="_Hlk130447969"/>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37" w:name="_Toc130368761"/>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4602EEE2"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r>
        <w:rPr>
          <w:rFonts w:cs="Times New Roman"/>
          <w:b/>
          <w:bCs/>
          <w:color w:val="C00000"/>
          <w:szCs w:val="24"/>
          <w:u w:val="single"/>
        </w:rPr>
        <w:t>April 3, 2025</w:t>
      </w:r>
      <w:r>
        <w:t xml:space="preserve"> (the </w:t>
      </w:r>
      <w:r>
        <w:rPr>
          <w:i/>
          <w:iCs/>
        </w:rPr>
        <w:t>earliest</w:t>
      </w:r>
      <w:r>
        <w:t xml:space="preserve"> of the applicable statutes of limitations given the desired </w:t>
      </w:r>
      <w:r w:rsidR="00FD25C3">
        <w:t>causes of action</w:t>
      </w:r>
      <w:r>
        <w:t xml:space="preserve">). </w:t>
      </w:r>
    </w:p>
    <w:p w14:paraId="250418D3" w14:textId="77777777" w:rsidR="0024478A" w:rsidRPr="005E500B" w:rsidRDefault="0024478A" w:rsidP="0024478A">
      <w:pPr>
        <w:spacing w:after="264"/>
        <w:rPr>
          <w:highlight w:val="green"/>
        </w:rPr>
      </w:pPr>
      <w:r w:rsidRPr="005E500B">
        <w:rPr>
          <w:highlight w:val="green"/>
        </w:rPr>
        <w:t xml:space="preserve">DELETE THIS NOTE: If the Medical Malpractice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r>
        <w:rPr>
          <w:rFonts w:cs="Times New Roman"/>
          <w:bCs/>
          <w:szCs w:val="24"/>
        </w:rPr>
        <w:t>Orange</w:t>
      </w:r>
      <w:r>
        <w:rPr>
          <w:rFonts w:cs="Times New Roman"/>
          <w:bCs/>
          <w:szCs w:val="24"/>
        </w:rPr>
        <w:t xml:space="preserve"> County.</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bookmarkEnd w:id="192"/>
      <w:r w:rsidR="007A188C">
        <w:t>Venue</w:t>
      </w:r>
    </w:p>
    <w:p w14:paraId="031055CF" w14:textId="5CA252A1" w:rsidR="00977CF1" w:rsidRDefault="00993B28" w:rsidP="00977CF1">
      <w:pPr>
        <w:spacing w:after="264"/>
      </w:pPr>
      <w:r>
        <w:rPr>
          <w:rFonts w:cs="Times New Roman"/>
          <w:szCs w:val="24"/>
        </w:rPr>
        <w:t>Orange</w:t>
      </w:r>
      <w:r w:rsidR="005916C1">
        <w:rPr>
          <w:rFonts w:cs="Times New Roman"/>
          <w:szCs w:val="24"/>
        </w:rPr>
        <w:t xml:space="preserve"> County is the correct venue for this lawsuit.</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4" w:name="_Toc130368807"/>
      <w:r w:rsidRPr="00020852">
        <w:fldChar w:fldCharType="end"/>
      </w:r>
      <w:r>
        <w:br/>
        <w:t>Standing</w:t>
      </w:r>
      <w:bookmarkEnd w:id="194"/>
    </w:p>
    <w:bookmarkStart w:id="195" w:name="_Hlk43282553"/>
    <w:bookmarkStart w:id="196"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7" w:name="_Hlk43278950"/>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8" w:name="_Toc130368808"/>
      <w:r w:rsidRPr="00020852">
        <w:fldChar w:fldCharType="end"/>
      </w:r>
      <w:r w:rsidR="002970B7">
        <w:br/>
      </w:r>
      <w:r w:rsidRPr="00020852">
        <w:t>Anti-SLAPP Analysis</w:t>
      </w:r>
      <w:bookmarkEnd w:id="198"/>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9"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9"/>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0"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0"/>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1"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1"/>
    </w:p>
    <w:p w14:paraId="6DD62A2F" w14:textId="41316E69" w:rsidR="00971848" w:rsidRDefault="00B20D9F" w:rsidP="00612C9C">
      <w:pPr>
        <w:spacing w:after="264"/>
        <w:ind w:left="1080" w:hanging="360"/>
        <w:rPr>
          <w:rFonts w:cs="Times New Roman"/>
        </w:rPr>
      </w:pPr>
      <w:r>
        <w:rPr>
          <w:rFonts w:cs="Times New Roman"/>
        </w:rPr>
        <w:t xml:space="preserve">—  </w:t>
      </w:r>
      <w:bookmarkStart w:id="202"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2"/>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3"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3"/>
    </w:p>
    <w:p w14:paraId="06356D77" w14:textId="04FF36D6" w:rsidR="00026797" w:rsidRDefault="00026797" w:rsidP="006B1269">
      <w:pPr>
        <w:spacing w:after="264"/>
        <w:ind w:left="1080" w:hanging="360"/>
        <w:rPr>
          <w:rFonts w:cs="Times New Roman"/>
        </w:rPr>
      </w:pPr>
      <w:r>
        <w:rPr>
          <w:rFonts w:cs="Times New Roman"/>
        </w:rPr>
        <w:t xml:space="preserve">—  </w:t>
      </w:r>
      <w:bookmarkStart w:id="20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4"/>
    </w:p>
    <w:p w14:paraId="5056994B" w14:textId="739EE89C" w:rsidR="00026797" w:rsidRDefault="00026797" w:rsidP="00026797">
      <w:pPr>
        <w:spacing w:after="264"/>
        <w:ind w:left="1350" w:hanging="270"/>
        <w:rPr>
          <w:rFonts w:cs="Times New Roman"/>
        </w:rPr>
      </w:pPr>
      <w:r>
        <w:rPr>
          <w:rFonts w:cs="Times New Roman"/>
        </w:rPr>
        <w:t xml:space="preserve">•   </w:t>
      </w:r>
      <w:bookmarkStart w:id="205" w:name="_Hlk42677980"/>
      <w:r w:rsidRPr="00026797">
        <w:rPr>
          <w:rFonts w:cs="Times New Roman"/>
        </w:rPr>
        <w:t>Any statement (written or oral) or document generated in connection with (or as part of):</w:t>
      </w:r>
      <w:bookmarkEnd w:id="205"/>
    </w:p>
    <w:p w14:paraId="324E9EE9" w14:textId="01CBF807" w:rsidR="00026797" w:rsidRDefault="00026797" w:rsidP="00026797">
      <w:pPr>
        <w:spacing w:after="264"/>
        <w:ind w:left="1710" w:hanging="360"/>
        <w:rPr>
          <w:rFonts w:cs="Times New Roman"/>
        </w:rPr>
      </w:pPr>
      <w:r>
        <w:rPr>
          <w:rFonts w:cs="Times New Roman"/>
        </w:rPr>
        <w:t xml:space="preserve">→  </w:t>
      </w:r>
      <w:bookmarkStart w:id="206" w:name="_Hlk42678003"/>
      <w:r w:rsidRPr="00026797">
        <w:rPr>
          <w:rFonts w:cs="Times New Roman"/>
        </w:rPr>
        <w:t>Any official proceedings authorized by law—e.g., legislative, executive, or judicial proceedings. (Code Civ. Proc., § 425.16(e)(1).)</w:t>
      </w:r>
      <w:bookmarkEnd w:id="206"/>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7" w:name="_Hlk42678038"/>
      <w:r w:rsidRPr="00026797">
        <w:rPr>
          <w:rFonts w:cs="Times New Roman"/>
        </w:rPr>
        <w:t>issue under consideration or review by a legislative, executive, or judicial body.</w:t>
      </w:r>
      <w:bookmarkEnd w:id="20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8" w:name="_Hlk42678099"/>
      <w:r w:rsidRPr="00026797">
        <w:rPr>
          <w:rFonts w:cs="Times New Roman"/>
        </w:rPr>
        <w:t>Any statement (written or oral) or document made in a place open to the public (or in a public forum) and made in connection with an issue of public interest. (Code Civ. Proc., § 425.16(e)(3).)</w:t>
      </w:r>
      <w:bookmarkEnd w:id="20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3" w:name="_Toc130368809"/>
      <w:r w:rsidRPr="00020852">
        <w:fldChar w:fldCharType="end"/>
      </w:r>
      <w:r>
        <w:br/>
      </w:r>
      <w:r w:rsidRPr="00020852">
        <w:t>Pre-Filing Requirements</w:t>
      </w:r>
      <w:bookmarkEnd w:id="213"/>
      <w:r w:rsidR="00E24072">
        <w:br/>
        <w:t>(e.g., Notice or Mediation Requirements)</w:t>
      </w:r>
    </w:p>
    <w:bookmarkStart w:id="214" w:name="_Hlk130541436"/>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r>
        <w:rPr>
          <w:rFonts w:cs="Times New Roman"/>
          <w:szCs w:val="24"/>
        </w:rPr>
        <w:t>January 23, 2023</w:t>
      </w:r>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7" w:name="_Toc130368810"/>
      <w:r w:rsidRPr="00020852">
        <w:fldChar w:fldCharType="end"/>
      </w:r>
      <w:r>
        <w:br/>
      </w:r>
      <w:r w:rsidRPr="00020852">
        <w:t>Attorneys’ Fees and Costs</w:t>
      </w:r>
      <w:bookmarkEnd w:id="217"/>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9"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9"/>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1"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1"/>
    </w:p>
    <w:p w14:paraId="0E7FD39D" w14:textId="5CB84CD9" w:rsidR="0057244F" w:rsidRDefault="00993B28" w:rsidP="00ED253D">
      <w:pPr>
        <w:spacing w:after="264"/>
      </w:pPr>
      <w:r>
        <w:t>None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0"/>
    </w:p>
    <w:p w14:paraId="5828B9B5" w14:textId="61325DEF" w:rsidR="00187D06" w:rsidRDefault="002A00E7" w:rsidP="001257C8">
      <w:pPr>
        <w:pStyle w:val="Line"/>
      </w:pPr>
      <w:bookmarkStart w:id="222" w:name="_Hlk43439444"/>
      <w:r w:rsidRPr="005C5314">
        <w:t>________________________________</w:t>
      </w:r>
      <w:bookmarkEnd w:id="22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398D" w14:textId="77777777" w:rsidR="00C86AA0" w:rsidRDefault="00C86AA0" w:rsidP="007B1C23">
      <w:pPr>
        <w:spacing w:after="264"/>
      </w:pPr>
      <w:r>
        <w:separator/>
      </w:r>
    </w:p>
    <w:p w14:paraId="14ACAE7E" w14:textId="77777777" w:rsidR="00C86AA0" w:rsidRDefault="00C86AA0">
      <w:pPr>
        <w:spacing w:after="264"/>
      </w:pPr>
    </w:p>
  </w:endnote>
  <w:endnote w:type="continuationSeparator" w:id="0">
    <w:p w14:paraId="2F8FE9BC" w14:textId="77777777" w:rsidR="00C86AA0" w:rsidRDefault="00C86AA0" w:rsidP="007B1C23">
      <w:pPr>
        <w:spacing w:after="264"/>
      </w:pPr>
      <w:r>
        <w:continuationSeparator/>
      </w:r>
    </w:p>
    <w:p w14:paraId="3F0697A8" w14:textId="77777777" w:rsidR="00C86AA0" w:rsidRDefault="00C86AA0">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993B28"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Wheeler v. Hawkins</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5F2E" w14:textId="77777777" w:rsidR="00C86AA0" w:rsidRDefault="00C86AA0" w:rsidP="007B1C23">
      <w:pPr>
        <w:spacing w:after="264"/>
      </w:pPr>
      <w:r>
        <w:separator/>
      </w:r>
    </w:p>
    <w:p w14:paraId="425C3988" w14:textId="77777777" w:rsidR="00C86AA0" w:rsidRDefault="00C86AA0">
      <w:pPr>
        <w:spacing w:after="264"/>
      </w:pPr>
    </w:p>
  </w:footnote>
  <w:footnote w:type="continuationSeparator" w:id="0">
    <w:p w14:paraId="1E6DDB48" w14:textId="77777777" w:rsidR="00C86AA0" w:rsidRDefault="00C86AA0" w:rsidP="007B1C23">
      <w:pPr>
        <w:spacing w:after="264"/>
      </w:pPr>
      <w:r>
        <w:continuationSeparator/>
      </w:r>
    </w:p>
    <w:p w14:paraId="778225A8" w14:textId="77777777" w:rsidR="00C86AA0" w:rsidRDefault="00C86AA0">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7B23"/>
    <w:rsid w:val="003C36A6"/>
    <w:rsid w:val="003C42B5"/>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2A58"/>
    <w:rsid w:val="00A83977"/>
    <w:rsid w:val="00A84425"/>
    <w:rsid w:val="00A86D4F"/>
    <w:rsid w:val="00A909DE"/>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F"/>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000000"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000000" w:rsidRDefault="004B3C09" w:rsidP="004B3C09">
          <w:pPr>
            <w:pStyle w:val="D2DF6B3491FB4329BA4C247411C2E2C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B3C09"/>
    <w:rsid w:val="005A2CCB"/>
    <w:rsid w:val="006018F9"/>
    <w:rsid w:val="00700325"/>
    <w:rsid w:val="00775AED"/>
    <w:rsid w:val="007833D2"/>
    <w:rsid w:val="00784920"/>
    <w:rsid w:val="00791801"/>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C09"/>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67BB71F834FB4F5889FD3091CCDDCC53">
    <w:name w:val="67BB71F834FB4F5889FD3091CCDDCC53"/>
    <w:rsid w:val="00AE362E"/>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2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2565</TotalTime>
  <Pages>178</Pages>
  <Words>51980</Words>
  <Characters>296286</Characters>
  <Application>Microsoft Office Word</Application>
  <DocSecurity>0</DocSecurity>
  <Lines>2469</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384</cp:revision>
  <cp:lastPrinted>2019-02-13T22:26:00Z</cp:lastPrinted>
  <dcterms:created xsi:type="dcterms:W3CDTF">2020-06-05T18:10:00Z</dcterms:created>
  <dcterms:modified xsi:type="dcterms:W3CDTF">2023-03-30T18:11:00Z</dcterms:modified>
</cp:coreProperties>
</file>