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CE4BDC" w:rsidP="00FD77B5">
      <w:pPr>
        <w:spacing w:afterLines="0" w:after="0"/>
        <w:jc w:val="center"/>
        <w:rPr>
          <w:rFonts w:cs="Times New Roman"/>
          <w:color w:val="000099"/>
          <w:sz w:val="52"/>
          <w:szCs w:val="52"/>
        </w:rPr>
      </w:pPr>
      <w:r>
        <w:rPr>
          <w:rFonts w:cs="Times New Roman"/>
          <w:color w:val="000099"/>
          <w:sz w:val="52"/>
          <w:szCs w:val="52"/>
        </w:rPr>
        <w:t>Fury v. Half Moon Bay HOA</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CE4BDC" w:rsidP="00D66223">
      <w:pPr>
        <w:spacing w:afterLines="0" w:after="0"/>
        <w:jc w:val="center"/>
        <w:rPr>
          <w:rFonts w:cs="Times New Roman"/>
          <w:bCs/>
          <w:color w:val="000099"/>
          <w:sz w:val="28"/>
          <w:szCs w:val="28"/>
        </w:rPr>
      </w:pPr>
      <w:r>
        <w:rPr>
          <w:rFonts w:cs="Times New Roman"/>
          <w:bCs/>
          <w:color w:val="000099"/>
          <w:sz w:val="28"/>
          <w:szCs w:val="28"/>
        </w:rPr>
        <w:t>WC</w:t>
      </w:r>
    </w:p>
    <w:p w14:paraId="56F0E1E5" w14:textId="3958D03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FA50B2">
        <w:rPr>
          <w:rFonts w:cs="Times New Roman"/>
          <w:bCs/>
          <w:noProof/>
          <w:color w:val="000099"/>
          <w:sz w:val="26"/>
          <w:szCs w:val="26"/>
        </w:rPr>
        <w:t>April 5,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CE4BDC">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CE4BDC">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CE4BDC">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CE4BDC">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CE4BDC">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CE4BDC">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CE4BDC">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CE4BDC">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CE4BDC">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CE4BDC">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CE4BDC">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CE4BDC">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CE4BDC">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CE4BDC">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CE4BDC">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CE4BDC">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CE4BDC">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CE4BDC">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CE4BDC">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CE4BDC">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CE4BDC">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CE4BDC">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CE4BDC">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CE4BDC">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CE4BDC">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CE4BDC">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CE4BDC">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CE4BDC">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CE4BDC">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CE4BDC">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CE4BDC">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CE4BDC">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CE4BDC">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CE4BDC">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CE4BDC">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CE4BDC">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CE4BDC">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CE4BDC">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CE4BDC">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CE4BDC">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CE4BDC">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CE4BDC">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CE4BDC">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CE4BDC">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CE4BDC">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CE4BDC">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CE4BDC">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CE4BDC">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CE4BDC">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CE4BDC">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CE4BDC">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CE4BDC">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CE4BDC">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CE4BDC">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CE4BDC">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CE4BDC">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CE4BDC">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CE4BDC">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CE4BDC">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CE4BDC">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CE4BDC">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CE4BDC">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CE4BDC">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CE4BDC">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CE4BDC">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CE4BDC">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CE4BDC">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CE4BDC">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CE4BDC">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CE4BDC">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CE4BDC">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CE4BDC">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CE4BDC">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CE4BDC">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CE4BDC">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CE4BDC">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CE4BDC">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CE4BDC">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CE4BDC">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CE4BDC">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CE4BDC">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CE4BDC">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CE4BDC">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CE4BDC">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CE4BDC">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CE4BDC">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CE4BDC">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CE4BDC">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CE4BDC">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CE4BDC">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CE4BDC">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CE4BDC">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CE4BDC">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CE4BDC">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CE4BDC">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CE4BDC">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CE4BDC">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CE4BDC">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CE4BDC">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CE4BDC">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CE4BDC">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CE4BDC">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CE4BDC">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CE4BDC">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CE4BDC">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CE4BDC">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CE4BDC">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CE4BDC">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CE4BDC">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CE4BDC">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CE4BDC">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CE4BDC">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CE4BDC">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CE4BDC">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CE4BDC">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w:t>
            </w:r>
            <w:r w:rsidR="0033195E">
              <w:rPr>
                <w:noProof/>
                <w:webHidden/>
              </w:rPr>
              <w:t>6</w:t>
            </w:r>
            <w:r w:rsidR="0033195E">
              <w:rPr>
                <w:noProof/>
                <w:webHidden/>
              </w:rPr>
              <w:t>4</w:t>
            </w:r>
            <w:r w:rsidR="0033195E">
              <w:rPr>
                <w:noProof/>
                <w:webHidden/>
              </w:rPr>
              <w:fldChar w:fldCharType="end"/>
            </w:r>
          </w:hyperlink>
        </w:p>
        <w:p w14:paraId="1518F26F" w14:textId="2E8992AF" w:rsidR="0033195E" w:rsidRDefault="00CE4BDC">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CE4BDC">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CE4BDC">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CE4BDC">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CE4BDC" w:rsidP="00FB173A">
      <w:pPr>
        <w:pStyle w:val="NormalEnd"/>
      </w:pPr>
      <w:r>
        <w:t>
          Elit duis tristique sollicitudin nibh sit amet commodo nulla. Purus sit amet volutpat consequat mauris nunc congue nisi vitae. Commodo viverra maecenas accumsan lacus vel facilisis. Elementum eu facilisis sed odio morbi quis commodo odio. Sed adipiscing diam donec adipiscing tristique risus nec feugiat. Arcu dui vivamus arcu felis. Commodo quis imperdiet massa tincidunt nunc pulvinar sapien et. Mi ipsum faucibus vitae aliquet. Vulputate mi sit amet mauris commodo quis imperdiet massa tincidunt. A diam sollicitudin tempor id. Malesuada nunc vel risus commodo viverra maecenas accumsan. Egestas diam in arcu cursus euismod quis. Ullamcorper malesuada proin libero nunc consequat interdum varius sit amet. Vulputate eu scelerisque felis imperdiet proin fermentum leo. 
          <w:br/>
          <w:br/>
          Eget gravida cum sociis natoque penatibus et magnis. Viverra orci sagittis eu volutpat odio facilisis mauris sit. Facilisis mauris sit amet massa. Consectetur adipiscing elit pellentesque habitant morbi tristique senectus.
        </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CE4BDC" w:rsidP="00B83DD4">
            <w:pPr>
              <w:spacing w:afterLines="0" w:after="0"/>
              <w:rPr>
                <w:rFonts w:ascii="Times New Roman" w:hAnsi="Times New Roman" w:cs="Times New Roman"/>
                <w:sz w:val="20"/>
                <w:szCs w:val="20"/>
              </w:rPr>
            </w:pPr>
            <w:r>
              <w:rPr>
                <w:rFonts w:cs="Times New Roman"/>
                <w:sz w:val="20"/>
                <w:szCs w:val="20"/>
              </w:rPr>
              <w:t>Nicholas Fury</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CE4BDC" w:rsidP="00B83DD4">
            <w:pPr>
              <w:spacing w:afterLines="0" w:after="0"/>
              <w:rPr>
                <w:rFonts w:ascii="Times New Roman" w:hAnsi="Times New Roman" w:cs="Times New Roman"/>
                <w:sz w:val="20"/>
                <w:szCs w:val="20"/>
              </w:rPr>
            </w:pPr>
            <w:r>
              <w:rPr>
                <w:rFonts w:cs="Times New Roman"/>
                <w:sz w:val="20"/>
                <w:szCs w:val="20"/>
              </w:rPr>
              <w:t>Half Moon Bay Homeowners Association, Inc. ("Half Moon")</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CE4BDC" w:rsidP="00B83DD4">
            <w:pPr>
              <w:spacing w:afterLines="0" w:after="0"/>
              <w:rPr>
                <w:rFonts w:ascii="Times New Roman" w:hAnsi="Times New Roman" w:cs="Times New Roman"/>
                <w:sz w:val="20"/>
                <w:szCs w:val="20"/>
              </w:rPr>
            </w:pPr>
            <w:r>
              <w:rPr>
                <w:rFonts w:cs="Times New Roman"/>
                <w:sz w:val="20"/>
                <w:szCs w:val="20"/>
              </w:rPr>
              <w:t>The HOA</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Vitae et leo duis ut diam quam nulla. Malesuada fames ac turpis egestas integer eget aliquet nibh. In egestas erat imperdiet sed euismod nisi. Velit dignissim sodales ut eu sem integer vitae justo eget. Etiam dignissim diam quis enim lobortis.</w:t>
      </w:r>
      <w:r w:rsidRPr="00020852">
        <w:rPr>
          <w:rFonts w:cs="Times New Roman"/>
          <w:szCs w:val="24"/>
        </w:rPr>
        <w:t xml:space="preserve"> </w:t>
      </w:r>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Client is claiming that leak came from common area pipe. We have no evidence to that effect. Does Client have evidence demonstrating that?</w:t>
      </w:r>
      <w:r w:rsidRPr="00020852">
        <w:rPr>
          <w:rFonts w:cs="Times New Roman"/>
          <w:szCs w:val="24"/>
        </w:rPr>
        <w:t xml:space="preserve"> </w:t>
      </w:r>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Vitae tortor condimentum lacinia quis vel eros donec. Morbi blandit cursus risus at ultrices mi tempus imperdiet. Aliquam eleifend mi in nulla. Mi sit amet mauris commodo quis imperdiet. Lorem ipsum dolor sit amet. Ultricies leo integer malesuada nunc vel. Semper quis lectus nulla at volutpat diam.</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C8A33F" w14:textId="3E9BEF90" w:rsidR="00370492" w:rsidRDefault="00370492" w:rsidP="001257C8">
      <w:pPr>
        <w:pStyle w:val="Line"/>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Birth Certificate for Bob Smith</w:t>
      </w:r>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r>
        <w:rPr>
          <w:rFonts w:cs="Times New Roman"/>
          <w:szCs w:val="24"/>
        </w:rPr>
        <w:t>Quitclaim Deed from 2022</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proofErr w:type="spellStart"/>
      <w:r w:rsidRPr="002C4F9C">
        <w:rPr>
          <w:rFonts w:cs="Times New Roman"/>
          <w:i/>
          <w:iCs/>
          <w:szCs w:val="24"/>
        </w:rPr>
        <w:t>Titmas</w:t>
      </w:r>
      <w:proofErr w:type="spellEnd"/>
      <w:r w:rsidRPr="002C4F9C">
        <w:rPr>
          <w:rFonts w:cs="Times New Roman"/>
          <w:i/>
          <w:iCs/>
          <w:szCs w:val="24"/>
        </w:rPr>
        <w:t xml:space="preserve"> v. Sup.Ct. (</w:t>
      </w:r>
      <w:proofErr w:type="spellStart"/>
      <w:r w:rsidRPr="002C4F9C">
        <w:rPr>
          <w:rFonts w:cs="Times New Roman"/>
          <w:i/>
          <w:iCs/>
          <w:szCs w:val="24"/>
        </w:rPr>
        <w:t>Iavarone</w:t>
      </w:r>
      <w:proofErr w:type="spellEnd"/>
      <w:r w:rsidRPr="002C4F9C">
        <w:rPr>
          <w:rFonts w:cs="Times New Roman"/>
          <w:i/>
          <w:iCs/>
          <w:szCs w:val="24"/>
        </w:rPr>
        <w:t>)</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2C4F9C" w:rsidRDefault="0020072A" w:rsidP="001447D7">
      <w:pPr>
        <w:pStyle w:val="NormalEnd"/>
        <w:ind w:left="1080" w:hanging="360"/>
        <w:rPr>
          <w:sz w:val="12"/>
          <w:szCs w:val="12"/>
        </w:rPr>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bookmarkStart w:id="25" w:name="_Hlk131406768"/>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bookmarkStart w:id="32" w:name="_Hlk41032600"/>
    <w:bookmarkStart w:id="33" w:name="_Hlk130368841"/>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r>
        <w:rPr>
          <w:rFonts w:cs="Times New Roman"/>
          <w:bCs/>
          <w:szCs w:val="24"/>
        </w:rPr>
        <w:t>Section 23.1</w:t>
      </w:r>
      <w:r w:rsidRPr="007E2199">
        <w:rPr>
          <w:rFonts w:cs="Times New Roman"/>
          <w:bCs/>
          <w:szCs w:val="24"/>
        </w:rPr>
        <w:t xml:space="preserve"> of the CC&amp;Rs specifically states that a violation of the CC&amp;Rs gives rise to a separate nuisance claim.</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30368724"/>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30368737"/>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38"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30368800"/>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30368801"/>
      <w:r w:rsidRPr="002F7882">
        <w:rPr>
          <w:color w:val="C00000"/>
        </w:rPr>
        <w:fldChar w:fldCharType="end"/>
      </w:r>
      <w:r w:rsidRPr="002F7882">
        <w:rPr>
          <w:color w:val="C00000"/>
        </w:rPr>
        <w:br/>
        <w:t>Statute of Limitations</w:t>
      </w:r>
      <w:bookmarkEnd w:id="183"/>
      <w:bookmarkEnd w:id="184"/>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October 5, 2023</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30368802"/>
      <w:r w:rsidRPr="00020852">
        <w:fldChar w:fldCharType="end"/>
      </w:r>
      <w:r w:rsidR="002970B7">
        <w:br/>
      </w:r>
      <w:r w:rsidRPr="00020852">
        <w:t>Applicability of Davis-Stirling Act</w:t>
      </w:r>
      <w:bookmarkEnd w:id="185"/>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30368803"/>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30368804"/>
      <w:r w:rsidRPr="00020852">
        <w:fldChar w:fldCharType="end"/>
      </w:r>
      <w:r w:rsidR="002970B7">
        <w:br/>
      </w:r>
      <w:r w:rsidR="00C53B37" w:rsidRPr="00020852">
        <w:t>Arbitration</w:t>
      </w:r>
      <w:bookmarkEnd w:id="187"/>
    </w:p>
    <w:bookmarkStart w:id="188" w:name="_Hlk53658305"/>
    <w:p w14:paraId="7BDB493A" w14:textId="70849805" w:rsidR="00745226" w:rsidRDefault="00CE4BDC" w:rsidP="00C53B37">
      <w:pPr>
        <w:spacing w:after="264"/>
        <w:rPr>
          <w:rFonts w:cs="Times New Roman"/>
          <w:bCs/>
          <w:szCs w:val="24"/>
        </w:rPr>
      </w:pPr>
      <w:r>
        <w:rPr>
          <w:rFonts w:cs="Times New Roman"/>
          <w:bCs/>
          <w:szCs w:val="24"/>
        </w:rPr>
        <w:t>Section 23.751</w:t>
      </w:r>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r>
        <w:rPr>
          <w:rFonts w:cs="Times New Roman"/>
          <w:szCs w:val="24"/>
        </w:rPr>
        <w:t>Orange</w:t>
      </w:r>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30368805"/>
      <w:r w:rsidRPr="00020852">
        <w:fldChar w:fldCharType="end"/>
      </w:r>
      <w:r w:rsidR="002970B7">
        <w:br/>
      </w:r>
      <w:bookmarkEnd w:id="193"/>
      <w:r w:rsidR="007A188C">
        <w:t>Venue</w:t>
      </w:r>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r>
        <w:rPr>
          <w:rFonts w:cs="Times New Roman"/>
          <w:szCs w:val="24"/>
        </w:rPr>
        <w:t>Orange</w:t>
      </w:r>
      <w:r w:rsidRPr="00020852">
        <w:rPr>
          <w:rFonts w:cs="Times New Roman"/>
        </w:rPr>
        <w:t xml:space="preserve"> County</w:t>
      </w:r>
      <w:bookmarkStart w:id="194" w:name="_Hlk53661901"/>
      <w:r w:rsidRPr="00020852">
        <w:rPr>
          <w:rFonts w:cs="Times New Roman"/>
        </w:rPr>
        <w:t>.</w:t>
      </w:r>
      <w:bookmarkEnd w:id="194"/>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307DD063" w14:textId="063C2E7B" w:rsidR="000D7F75" w:rsidRDefault="00E7041C" w:rsidP="000111DA">
      <w:pPr>
        <w:spacing w:after="264"/>
      </w:pPr>
      <w:r w:rsidRPr="00613F30">
        <w:lastRenderedPageBreak/>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w:t>
      </w:r>
      <w:r w:rsidR="00971848" w:rsidRPr="00971848">
        <w:rPr>
          <w:rFonts w:cs="Times New Roman"/>
        </w:rPr>
        <w:lastRenderedPageBreak/>
        <w:t xml:space="preserve">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4C995D6E" w14:textId="4BEA7DC0" w:rsidR="009B6326" w:rsidRDefault="00DF39A8" w:rsidP="009B6326">
      <w:pPr>
        <w:spacing w:after="264"/>
        <w:ind w:left="270" w:hanging="270"/>
        <w:rPr>
          <w:rFonts w:cs="Times New Roman"/>
        </w:rPr>
      </w:pPr>
      <w:r>
        <w:rPr>
          <w:rFonts w:cs="Times New Roman"/>
          <w:u w:val="single"/>
        </w:rPr>
        <w:lastRenderedPageBreak/>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bookmarkStart w:id="215"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8" w:name="_Toc130368810"/>
      <w:r w:rsidRPr="00020852">
        <w:fldChar w:fldCharType="end"/>
      </w:r>
      <w:r>
        <w:br/>
      </w:r>
      <w:r w:rsidRPr="00020852">
        <w:t>Attorneys’ Fees and Costs</w:t>
      </w:r>
      <w:bookmarkEnd w:id="218"/>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Section 45.46</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2"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2"/>
    </w:p>
    <w:p w14:paraId="0E7FD39D" w14:textId="5CB84CD9" w:rsidR="0057244F" w:rsidRDefault="00CE4BDC" w:rsidP="00ED253D">
      <w:pPr>
        <w:spacing w:after="264"/>
      </w:pPr>
      <w:r>
        <w:t>It looks like our Client won’t be able to support his claims (assuming we can get over the inevitable anti-SLAPP that will be coming).</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1"/>
    </w:p>
    <w:p w14:paraId="5828B9B5" w14:textId="61325DEF" w:rsidR="00187D06" w:rsidRDefault="002A00E7" w:rsidP="001257C8">
      <w:pPr>
        <w:pStyle w:val="Line"/>
      </w:pPr>
      <w:bookmarkStart w:id="223" w:name="_Hlk43439444"/>
      <w:r w:rsidRPr="005C5314">
        <w:t>________________________________</w:t>
      </w:r>
      <w:bookmarkEnd w:id="223"/>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9B26" w14:textId="77777777" w:rsidR="004D6238" w:rsidRDefault="004D6238" w:rsidP="007B1C23">
      <w:pPr>
        <w:spacing w:after="264"/>
      </w:pPr>
      <w:r>
        <w:separator/>
      </w:r>
    </w:p>
    <w:p w14:paraId="4820DCD1" w14:textId="77777777" w:rsidR="004D6238" w:rsidRDefault="004D6238">
      <w:pPr>
        <w:spacing w:after="264"/>
      </w:pPr>
    </w:p>
  </w:endnote>
  <w:endnote w:type="continuationSeparator" w:id="0">
    <w:p w14:paraId="11210842" w14:textId="77777777" w:rsidR="004D6238" w:rsidRDefault="004D6238" w:rsidP="007B1C23">
      <w:pPr>
        <w:spacing w:after="264"/>
      </w:pPr>
      <w:r>
        <w:continuationSeparator/>
      </w:r>
    </w:p>
    <w:p w14:paraId="3B467EB4" w14:textId="77777777" w:rsidR="004D6238" w:rsidRDefault="004D6238">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CE4BDC"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Fury v. Half Moon Bay HOA</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47E5F" w14:textId="77777777" w:rsidR="004D6238" w:rsidRDefault="004D6238" w:rsidP="007B1C23">
      <w:pPr>
        <w:spacing w:after="264"/>
      </w:pPr>
      <w:r>
        <w:separator/>
      </w:r>
    </w:p>
    <w:p w14:paraId="3F70D47C" w14:textId="77777777" w:rsidR="004D6238" w:rsidRDefault="004D6238">
      <w:pPr>
        <w:spacing w:after="264"/>
      </w:pPr>
    </w:p>
  </w:footnote>
  <w:footnote w:type="continuationSeparator" w:id="0">
    <w:p w14:paraId="66649304" w14:textId="77777777" w:rsidR="004D6238" w:rsidRDefault="004D6238" w:rsidP="007B1C23">
      <w:pPr>
        <w:spacing w:after="264"/>
      </w:pPr>
      <w:r>
        <w:continuationSeparator/>
      </w:r>
    </w:p>
    <w:p w14:paraId="3B68F411" w14:textId="77777777" w:rsidR="004D6238" w:rsidRDefault="004D6238">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A7356"/>
    <w:rsid w:val="004C131C"/>
    <w:rsid w:val="004C3C0D"/>
    <w:rsid w:val="004C4FE9"/>
    <w:rsid w:val="004C6B67"/>
    <w:rsid w:val="004D0470"/>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85A7A"/>
    <w:rsid w:val="004B3C09"/>
    <w:rsid w:val="00554C11"/>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1066"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2819</TotalTime>
  <Pages>189</Pages>
  <Words>56028</Words>
  <Characters>319362</Characters>
  <Application>Microsoft Office Word</Application>
  <DocSecurity>0</DocSecurity>
  <Lines>2661</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430</cp:revision>
  <cp:lastPrinted>2019-02-13T22:26:00Z</cp:lastPrinted>
  <dcterms:created xsi:type="dcterms:W3CDTF">2020-06-05T18:10:00Z</dcterms:created>
  <dcterms:modified xsi:type="dcterms:W3CDTF">2023-04-05T20:18:00Z</dcterms:modified>
</cp:coreProperties>
</file>