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Ellis/Gabeau v. Royal South Beach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EMS</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TO BE COMPLETED LATER - Unit above had a leak &amp; damaged his property costing $12K out of pocket. This was because a lack of maintenance to the pipes. HOA offered $5000, but PC declined wanting $12K</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435F6" w:rsidP="00EF2457">
            <w:pPr>
              <w:spacing w:afterLines="0" w:after="0"/>
              <w:rPr>
                <w:rFonts w:cs="Times New Roman"/>
                <w:sz w:val="20"/>
                <w:szCs w:val="20"/>
              </w:rPr>
            </w:pPr>
            <w:r>
              <w:rPr>
                <w:rFonts w:cs="Times New Roman"/>
                <w:sz w:val="20"/>
                <w:szCs w:val="20"/>
              </w:rPr>
              <w:t>Aisha Ellis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435F6" w:rsidP="00EF2457">
            <w:pPr>
              <w:spacing w:afterLines="0" w:after="0"/>
              <w:rPr>
                <w:rFonts w:cs="Times New Roman"/>
                <w:sz w:val="20"/>
                <w:szCs w:val="20"/>
              </w:rPr>
            </w:pPr>
            <w:r>
              <w:rPr>
                <w:rFonts w:cs="Times New Roman"/>
                <w:sz w:val="20"/>
                <w:szCs w:val="20"/>
              </w:rPr>
              <w:t>David Gabeau</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435F6" w:rsidP="00EF2457">
            <w:pPr>
              <w:spacing w:afterLines="0" w:after="0"/>
              <w:rPr>
                <w:rFonts w:cs="Times New Roman"/>
                <w:sz w:val="20"/>
                <w:szCs w:val="20"/>
              </w:rPr>
            </w:pPr>
            <w:r>
              <w:rPr>
                <w:rFonts w:cs="Times New Roman"/>
                <w:sz w:val="20"/>
                <w:szCs w:val="20"/>
              </w:rPr>
              <w:t>co-owner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435F6" w:rsidP="00EF2457">
            <w:pPr>
              <w:spacing w:afterLines="0" w:after="0"/>
              <w:rPr>
                <w:rFonts w:cs="Times New Roman"/>
                <w:sz w:val="20"/>
                <w:szCs w:val="20"/>
              </w:rPr>
            </w:pPr>
            <w:r>
              <w:rPr>
                <w:rFonts w:cs="Times New Roman"/>
                <w:sz w:val="20"/>
                <w:szCs w:val="20"/>
              </w:rPr>
              <w:t>Royal South Beach Condominium Association, Inc.</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435F6"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 718.113</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 718.113</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 718.113</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XXX, Section 30.03</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TO BE COMPLETED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Ellis/Gabeau v. Royal South Beach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