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Carlo v. Wellington Landing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JG</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387598" w:rsidP="0054507B">
            <w:pPr>
              <w:spacing w:afterLines="0" w:after="0"/>
              <w:rPr>
                <w:rFonts w:cs="Times New Roman"/>
                <w:sz w:val="20"/>
                <w:szCs w:val="20"/>
              </w:rPr>
            </w:pPr>
            <w:r>
              <w:rPr>
                <w:rFonts w:cs="Times New Roman"/>
                <w:sz w:val="20"/>
                <w:szCs w:val="20"/>
              </w:rPr>
              <w:t>Mary K. Carlo</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387598" w:rsidP="0054507B">
            <w:pPr>
              <w:spacing w:afterLines="0" w:after="0"/>
              <w:rPr>
                <w:rFonts w:cs="Times New Roman"/>
                <w:sz w:val="20"/>
                <w:szCs w:val="20"/>
              </w:rPr>
            </w:pPr>
            <w:r>
              <w:rPr>
                <w:rFonts w:cs="Times New Roman"/>
                <w:sz w:val="20"/>
                <w:szCs w:val="20"/>
              </w:rPr>
              <w:t>Wellington Landing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387598"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TBD</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Carlo v. Wellington Landing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