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9,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Samwell Tarley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r>
        <w:rPr>
          <w:rFonts w:ascii="Cormorant Garamond" w:hAnsi="Cormorant Garamond"/>
          <w:sz w:val="20"/>
          <w:szCs w:val="20"/>
        </w:rPr>
        <w:t>2498 Tarley Castle Way</w:t>
      </w:r>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Aliso Viejo, CA 92656</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1,000</w:t>
            </w:r>
          </w:p>
        </w:tc>
      </w:tr>
    </w:tbl>
    <w:bookmarkStart w:id="4" w:name="_Hlk43278950"/>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Recommendations regarding selection and purchase of interior plants</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r>
        <w:rPr>
          <w:rFonts w:ascii="Cormorant Garamond" w:hAnsi="Cormorant Garamond"/>
          <w:sz w:val="20"/>
          <w:szCs w:val="20"/>
        </w:rPr>
        <w:t>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w:t>
      </w: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r>
              <w:rPr>
                <w:rFonts w:ascii="Cormorant Garamond" w:hAnsi="Cormorant Garamond"/>
                <w:b/>
                <w:bCs/>
                <w:sz w:val="20"/>
                <w:szCs w:val="20"/>
              </w:rPr>
              <w:t>3,500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15</Pages>
  <Words>7068</Words>
  <Characters>35839</Characters>
  <Application>Microsoft Office Word</Application>
  <DocSecurity>0</DocSecurity>
  <Lines>1791</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