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81D9B" w:rsidP="00FD77B5">
      <w:pPr>
        <w:spacing w:afterLines="0" w:after="0"/>
        <w:jc w:val="center"/>
        <w:rPr>
          <w:rFonts w:cs="Times New Roman"/>
          <w:color w:val="000099"/>
          <w:sz w:val="52"/>
          <w:szCs w:val="52"/>
        </w:rPr>
      </w:pPr>
      <w:r>
        <w:rPr>
          <w:rFonts w:cs="Times New Roman"/>
          <w:color w:val="000099"/>
          <w:sz w:val="52"/>
          <w:szCs w:val="52"/>
        </w:rPr>
        <w:t>Lane adv. Murdock</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C81D9B" w:rsidP="00FD77B5">
      <w:pPr>
        <w:spacing w:afterLines="0" w:after="0"/>
        <w:jc w:val="center"/>
        <w:rPr>
          <w:rFonts w:cs="Times New Roman"/>
          <w:sz w:val="28"/>
          <w:szCs w:val="28"/>
        </w:rPr>
      </w:pPr>
      <w:r>
        <w:rPr>
          <w:rFonts w:cs="Times New Roman"/>
          <w:color w:val="000099"/>
          <w:sz w:val="28"/>
          <w:szCs w:val="28"/>
        </w:rPr>
        <w:t>2022-CV-232323</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81D9B"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81D9B">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81D9B">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81D9B">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w:t>
            </w:r>
            <w:r w:rsidR="0033195E">
              <w:rPr>
                <w:noProof/>
                <w:webHidden/>
              </w:rPr>
              <w:t>3</w:t>
            </w:r>
            <w:r w:rsidR="0033195E">
              <w:rPr>
                <w:noProof/>
                <w:webHidden/>
              </w:rPr>
              <w:fldChar w:fldCharType="end"/>
            </w:r>
          </w:hyperlink>
        </w:p>
        <w:p w14:paraId="4A7F5F93" w14:textId="158EA554" w:rsidR="0033195E" w:rsidRDefault="00C81D9B">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81D9B">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81D9B">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81D9B">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81D9B">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81D9B">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81D9B">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81D9B">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81D9B">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81D9B">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81D9B">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81D9B">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81D9B">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81D9B">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81D9B">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81D9B">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81D9B">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81D9B">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81D9B">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81D9B">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81D9B">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81D9B">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81D9B">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81D9B">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81D9B">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81D9B">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81D9B">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81D9B">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81D9B">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81D9B">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81D9B">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81D9B">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81D9B">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81D9B">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81D9B">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81D9B">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81D9B">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81D9B">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81D9B">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81D9B">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81D9B">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81D9B">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81D9B">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81D9B">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81D9B">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81D9B">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81D9B">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81D9B">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81D9B">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81D9B">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81D9B">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81D9B">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81D9B">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81D9B">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81D9B">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81D9B">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81D9B">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81D9B">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81D9B">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81D9B">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81D9B">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81D9B">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81D9B">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81D9B">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81D9B">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81D9B">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81D9B">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81D9B">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81D9B">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81D9B">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81D9B">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81D9B">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81D9B">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81D9B">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81D9B">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81D9B">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81D9B">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81D9B">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81D9B">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81D9B">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81D9B">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81D9B">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81D9B">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81D9B">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81D9B">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81D9B">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81D9B">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81D9B">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81D9B">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81D9B">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81D9B">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81D9B">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81D9B">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81D9B">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81D9B">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81D9B">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81D9B">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81D9B">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81D9B">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81D9B">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81D9B">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81D9B">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81D9B">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81D9B">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81D9B">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81D9B">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81D9B">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81D9B">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81D9B">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81D9B">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81D9B">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81D9B">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C81D9B">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81D9B">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81D9B">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81D9B">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81D9B" w:rsidP="00FB173A">
      <w:pPr>
        <w:pStyle w:val="NormalEnd"/>
      </w:pPr>
      <w:r>
        <w:t>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81D9B" w:rsidP="00B83DD4">
            <w:pPr>
              <w:spacing w:afterLines="0" w:after="0"/>
              <w:rPr>
                <w:rFonts w:ascii="Times New Roman" w:hAnsi="Times New Roman" w:cs="Times New Roman"/>
                <w:sz w:val="20"/>
                <w:szCs w:val="20"/>
              </w:rPr>
            </w:pPr>
            <w:r>
              <w:rPr>
                <w:rFonts w:cs="Times New Roman"/>
                <w:sz w:val="20"/>
                <w:szCs w:val="20"/>
              </w:rPr>
              <w:t>Lois Lane</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81D9B" w:rsidP="00B83DD4">
            <w:pPr>
              <w:spacing w:afterLines="0" w:after="0"/>
              <w:rPr>
                <w:rFonts w:ascii="Times New Roman" w:hAnsi="Times New Roman" w:cs="Times New Roman"/>
                <w:sz w:val="20"/>
                <w:szCs w:val="20"/>
              </w:rPr>
            </w:pPr>
            <w:r>
              <w:rPr>
                <w:rFonts w:cs="Times New Roman"/>
                <w:sz w:val="20"/>
                <w:szCs w:val="20"/>
              </w:rPr>
              <w:t>Matthew Murdock</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81D9B" w:rsidP="00B83DD4">
            <w:pPr>
              <w:spacing w:afterLines="0" w:after="0"/>
              <w:rPr>
                <w:rFonts w:ascii="Times New Roman" w:hAnsi="Times New Roman" w:cs="Times New Roman"/>
                <w:sz w:val="20"/>
                <w:szCs w:val="20"/>
              </w:rPr>
            </w:pPr>
            <w:r>
              <w:rPr>
                <w:rFonts w:cs="Times New Roman"/>
                <w:sz w:val="20"/>
                <w:szCs w:val="20"/>
              </w:rPr>
              <w:t>The Plaintiff</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Pr="00EA2883">
        <w:t xml:space="preserve">POTENTIAL CROSS-CLAIMS </w:t>
      </w:r>
      <w:r w:rsidR="002155D0">
        <w:t>&amp;</w:t>
      </w:r>
      <w:r w:rsidR="002155D0" w:rsidRPr="00EA2883">
        <w:br/>
        <w:t>THE STRENGTHS/WEAKNESSES OF EACH</w:t>
      </w:r>
      <w:bookmarkEnd w:id="18"/>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8"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r>
        <w:rPr>
          <w:rFonts w:cs="Times New Roman"/>
          <w:b/>
          <w:bCs/>
          <w:color w:val="C00000"/>
          <w:szCs w:val="24"/>
          <w:u w:val="single"/>
        </w:rPr>
        <w:t>November 30, 2023</w:t>
      </w:r>
      <w:r>
        <w:t>.</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r>
        <w:rPr>
          <w:rFonts w:cs="Times New Roman"/>
          <w:bCs/>
          <w:szCs w:val="24"/>
        </w:rPr>
        <w:t>San Diego</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031055CF" w14:textId="5CA252A1" w:rsidR="00977CF1" w:rsidRDefault="00C81D9B" w:rsidP="00977CF1">
      <w:pPr>
        <w:spacing w:after="264"/>
      </w:pPr>
      <w:r>
        <w:rPr>
          <w:rFonts w:cs="Times New Roman"/>
          <w:szCs w:val="24"/>
        </w:rPr>
        <w:t>San Diego</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bookmarkStart w:id="215" w:name="_Hlk130541436"/>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Civil Code section 1111</w:t>
      </w:r>
      <w:r w:rsidR="003C4D76" w:rsidRPr="00D87E71">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81D9B" w:rsidP="00ED253D">
      <w:pPr>
        <w:spacing w:after="264"/>
      </w:pPr>
      <w:r>
        <w:t>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81D9B"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Lane adv. Murdock</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1111AFF428FF484380F9AE4EA3B347E9">
    <w:name w:val="1111AFF428FF484380F9AE4EA3B347E9"/>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2805</TotalTime>
  <Pages>189</Pages>
  <Words>56027</Words>
  <Characters>319359</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427</cp:revision>
  <cp:lastPrinted>2019-02-13T22:26:00Z</cp:lastPrinted>
  <dcterms:created xsi:type="dcterms:W3CDTF">2020-06-05T18:10:00Z</dcterms:created>
  <dcterms:modified xsi:type="dcterms:W3CDTF">2023-04-03T17:31:00Z</dcterms:modified>
</cp:coreProperties>
</file>